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F8" w:rsidRDefault="003945F8" w:rsidP="003945F8">
      <w:pPr>
        <w:spacing w:before="100" w:beforeAutospacing="1" w:after="100" w:afterAutospacing="1" w:line="312" w:lineRule="atLeast"/>
        <w:rPr>
          <w:rFonts w:eastAsia="Times New Roman" w:cs="Arial"/>
          <w:b/>
          <w:color w:val="333333"/>
          <w:sz w:val="28"/>
          <w:szCs w:val="20"/>
        </w:rPr>
      </w:pPr>
      <w:r w:rsidRPr="003945F8">
        <w:rPr>
          <w:rFonts w:eastAsia="Times New Roman" w:cs="Arial"/>
          <w:b/>
          <w:color w:val="333333"/>
          <w:sz w:val="28"/>
          <w:szCs w:val="20"/>
        </w:rPr>
        <w:t>Performance Indicators</w:t>
      </w:r>
    </w:p>
    <w:p w:rsidR="00837F68" w:rsidRDefault="003945F8" w:rsidP="003945F8">
      <w:pPr>
        <w:spacing w:before="100" w:beforeAutospacing="1" w:after="100" w:afterAutospacing="1" w:line="312" w:lineRule="atLeast"/>
        <w:rPr>
          <w:rFonts w:eastAsia="Times New Roman" w:cs="Arial"/>
          <w:color w:val="333333"/>
          <w:szCs w:val="20"/>
        </w:rPr>
      </w:pPr>
      <w:r w:rsidRPr="003945F8">
        <w:rPr>
          <w:rFonts w:eastAsia="Times New Roman" w:cs="Arial"/>
          <w:color w:val="333333"/>
          <w:szCs w:val="20"/>
        </w:rPr>
        <w:t xml:space="preserve">Gather </w:t>
      </w:r>
      <w:r>
        <w:rPr>
          <w:rFonts w:eastAsia="Times New Roman" w:cs="Arial"/>
          <w:color w:val="333333"/>
          <w:szCs w:val="20"/>
        </w:rPr>
        <w:t>the performance indicators from your School Technology Plan and your Technology Leadership Plan/Report. Include any performance indicators that you wish to add.</w:t>
      </w:r>
    </w:p>
    <w:p w:rsidR="003945F8" w:rsidRPr="003945F8" w:rsidRDefault="003945F8" w:rsidP="003945F8">
      <w:pPr>
        <w:spacing w:before="100" w:beforeAutospacing="1" w:after="100" w:afterAutospacing="1" w:line="312" w:lineRule="atLeast"/>
        <w:rPr>
          <w:rFonts w:eastAsia="Times New Roman" w:cs="Arial"/>
          <w:color w:val="333333"/>
          <w:szCs w:val="20"/>
        </w:rPr>
      </w:pPr>
      <w:r>
        <w:rPr>
          <w:rFonts w:eastAsia="Times New Roman" w:cs="Arial"/>
          <w:color w:val="333333"/>
          <w:szCs w:val="20"/>
        </w:rPr>
        <w:t>Evaluate these performance indicators using the checklist below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6465"/>
      </w:tblGrid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 w:rsidRPr="003945F8">
              <w:rPr>
                <w:rFonts w:eastAsia="Times New Roman" w:cs="Arial"/>
                <w:b/>
                <w:bCs/>
                <w:color w:val="333333"/>
                <w:szCs w:val="20"/>
              </w:rPr>
              <w:t>Outcome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 w:rsidRPr="003945F8">
              <w:rPr>
                <w:rFonts w:eastAsia="Times New Roman" w:cs="Arial"/>
                <w:b/>
                <w:bCs/>
                <w:color w:val="333333"/>
                <w:szCs w:val="20"/>
              </w:rPr>
              <w:t>Performance indicator</w:t>
            </w:r>
          </w:p>
        </w:tc>
      </w:tr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 w:rsidRPr="003945F8">
              <w:rPr>
                <w:rFonts w:eastAsia="Times New Roman" w:cs="Arial"/>
                <w:color w:val="333333"/>
                <w:szCs w:val="20"/>
              </w:rPr>
              <w:t xml:space="preserve">e.g. Professional </w:t>
            </w:r>
            <w:r>
              <w:rPr>
                <w:rFonts w:eastAsia="Times New Roman" w:cs="Arial"/>
                <w:color w:val="333333"/>
                <w:szCs w:val="20"/>
              </w:rPr>
              <w:t>learning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 w:rsidRPr="003945F8">
              <w:rPr>
                <w:rFonts w:eastAsia="Times New Roman" w:cs="Arial"/>
                <w:color w:val="333333"/>
                <w:szCs w:val="20"/>
              </w:rPr>
              <w:t>80% of the teachers will be trained to integrate technology into their teaching.</w:t>
            </w:r>
          </w:p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 w:rsidRPr="003945F8">
              <w:rPr>
                <w:rFonts w:eastAsia="Times New Roman" w:cs="Arial"/>
                <w:color w:val="333333"/>
                <w:szCs w:val="20"/>
              </w:rPr>
              <w:t>Vision</w:t>
            </w:r>
            <w:r>
              <w:rPr>
                <w:rFonts w:eastAsia="Times New Roman" w:cs="Arial"/>
                <w:color w:val="333333"/>
                <w:szCs w:val="20"/>
              </w:rPr>
              <w:t xml:space="preserve"> – ownership and commitment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Technology</w:t>
            </w:r>
            <w:r w:rsidRPr="003945F8">
              <w:rPr>
                <w:rFonts w:eastAsia="Times New Roman" w:cs="Arial"/>
                <w:color w:val="333333"/>
                <w:szCs w:val="20"/>
              </w:rPr>
              <w:t xml:space="preserve"> integration</w:t>
            </w:r>
            <w:r>
              <w:rPr>
                <w:rFonts w:eastAsia="Times New Roman" w:cs="Arial"/>
                <w:color w:val="333333"/>
                <w:szCs w:val="20"/>
              </w:rPr>
              <w:t xml:space="preserve"> / e-learning</w:t>
            </w:r>
            <w:r w:rsidRPr="003945F8">
              <w:rPr>
                <w:rFonts w:eastAsia="Times New Roman" w:cs="Arial"/>
                <w:color w:val="333333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 xml:space="preserve">Technology planning </w:t>
            </w:r>
          </w:p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 w:rsidRPr="003945F8">
              <w:rPr>
                <w:rFonts w:eastAsia="Times New Roman" w:cs="Arial"/>
                <w:color w:val="333333"/>
                <w:szCs w:val="20"/>
              </w:rPr>
              <w:t>Capacity building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 w:rsidRPr="003945F8">
              <w:rPr>
                <w:rFonts w:eastAsia="Times New Roman" w:cs="Arial"/>
                <w:color w:val="333333"/>
                <w:szCs w:val="20"/>
              </w:rPr>
              <w:t>Culture of learning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Facing challenges adaptively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>
              <w:rPr>
                <w:rFonts w:eastAsia="Times New Roman" w:cs="Arial"/>
                <w:color w:val="333333"/>
                <w:szCs w:val="20"/>
              </w:rPr>
              <w:t>Communication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  <w:r w:rsidRPr="003945F8">
              <w:rPr>
                <w:rFonts w:eastAsia="Times New Roman" w:cs="Arial"/>
                <w:color w:val="333333"/>
                <w:szCs w:val="20"/>
              </w:rPr>
              <w:t>Culture of evaluation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eastAsia="Times New Roman" w:cs="Arial"/>
                <w:color w:val="333333"/>
                <w:szCs w:val="20"/>
              </w:rPr>
            </w:pPr>
          </w:p>
        </w:tc>
      </w:tr>
    </w:tbl>
    <w:p w:rsidR="00A751D3" w:rsidRDefault="00A751D3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6060"/>
        <w:gridCol w:w="990"/>
      </w:tblGrid>
      <w:tr w:rsidR="003945F8" w:rsidRPr="003945F8" w:rsidTr="003945F8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Assess your performance indicator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4"/>
                <w:szCs w:val="20"/>
              </w:rPr>
              <w:t>√</w:t>
            </w:r>
          </w:p>
        </w:tc>
      </w:tr>
      <w:tr w:rsidR="003945F8" w:rsidRPr="003945F8" w:rsidTr="003945F8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It is describing one specific activity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It is measureable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It is timely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It is easy to understand by different people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945F8" w:rsidRPr="003945F8" w:rsidTr="003945F8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945F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It can be compared with similar indicators from year to year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5F8" w:rsidRPr="003945F8" w:rsidRDefault="003945F8" w:rsidP="003945F8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3945F8" w:rsidRPr="003945F8" w:rsidRDefault="003945F8"/>
    <w:sectPr w:rsidR="003945F8" w:rsidRPr="003945F8" w:rsidSect="003945F8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70569"/>
    <w:multiLevelType w:val="multilevel"/>
    <w:tmpl w:val="7570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65508"/>
    <w:multiLevelType w:val="multilevel"/>
    <w:tmpl w:val="D39E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A100D"/>
    <w:multiLevelType w:val="multilevel"/>
    <w:tmpl w:val="0814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73FA9"/>
    <w:multiLevelType w:val="multilevel"/>
    <w:tmpl w:val="0AD0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F8"/>
    <w:rsid w:val="003945F8"/>
    <w:rsid w:val="00837F68"/>
    <w:rsid w:val="00A7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D2ADF-C32B-48FA-85DC-5792FA77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45F8"/>
    <w:rPr>
      <w:b/>
      <w:bCs/>
    </w:rPr>
  </w:style>
  <w:style w:type="character" w:customStyle="1" w:styleId="apple-converted-space">
    <w:name w:val="apple-converted-space"/>
    <w:basedOn w:val="DefaultParagraphFont"/>
    <w:rsid w:val="003945F8"/>
  </w:style>
  <w:style w:type="character" w:styleId="Emphasis">
    <w:name w:val="Emphasis"/>
    <w:basedOn w:val="DefaultParagraphFont"/>
    <w:uiPriority w:val="20"/>
    <w:qFormat/>
    <w:rsid w:val="00394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1</cp:revision>
  <dcterms:created xsi:type="dcterms:W3CDTF">2014-08-28T12:52:00Z</dcterms:created>
  <dcterms:modified xsi:type="dcterms:W3CDTF">2014-08-28T13:03:00Z</dcterms:modified>
</cp:coreProperties>
</file>